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n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附件4</w:t>
      </w:r>
    </w:p>
    <w:p>
      <w:pPr>
        <w:numPr>
          <w:ilvl w:val="0"/>
          <w:numId w:val="0"/>
        </w:numPr>
        <w:jc w:val="center"/>
        <w:overflowPunct w:val="0"/>
        <w:spacing w:lineRule="exact" w:line="600" w:before="0" w:after="289"/>
        <w:ind w:right="0" w:firstLine="0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参训人员接站信息表</w:t>
      </w:r>
    </w:p>
    <w:p>
      <w:pPr>
        <w:numPr>
          <w:ilvl w:val="0"/>
          <w:numId w:val="0"/>
        </w:numPr>
        <w:jc w:val="left"/>
        <w:overflowPunct w:val="0"/>
        <w:spacing w:lineRule="exact" w:line="500" w:before="0" w:after="0"/>
        <w:ind w:right="0" w:firstLine="0"/>
        <w:rPr>
          <w:spacing w:val="4"/>
          <w:color w:val="000000"/>
          <w:position w:val="0"/>
          <w:sz w:val="44"/>
          <w:szCs w:val="44"/>
          <w:rFonts w:ascii="黑体" w:eastAsia="黑体" w:hAnsi="黑体" w:hint="default"/>
        </w:rPr>
        <w:snapToGrid w:val="on"/>
        <w:autoSpaceDE w:val="0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培训班名称：</w:t>
      </w:r>
      <w:r>
        <w:rPr>
          <w:spacing w:val="-20"/>
          <w:color w:val="auto"/>
          <w:position w:val="0"/>
          <w:sz w:val="24"/>
          <w:szCs w:val="24"/>
          <w:rFonts w:ascii="Times New Roman" w:eastAsia="仿宋_GB2312" w:hAnsi="仿宋_GB2312" w:hint="default"/>
        </w:rPr>
        <w:t>中管金融企业基层党支部书记培训示范班</w:t>
      </w:r>
    </w:p>
    <w:tbl>
      <w:tblPr>
        <w:tblStyle w:val="PO37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176"/>
        <w:gridCol w:w="4387"/>
        <w:gridCol w:w="2171"/>
        <w:gridCol w:w="2005"/>
        <w:gridCol w:w="2326"/>
        <w:gridCol w:w="1181"/>
      </w:tblGrid>
      <w:tr>
        <w:trPr>
          <w:trHeight w:hRule="exact" w:val="1362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姓名</w:t>
            </w:r>
          </w:p>
        </w:tc>
        <w:tc>
          <w:tcPr>
            <w:tcW w:type="dxa" w:w="438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工作单位及职务</w:t>
            </w:r>
          </w:p>
        </w:tc>
        <w:tc>
          <w:tcPr>
            <w:tcW w:type="dxa" w:w="217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手机</w:t>
            </w: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航班号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或车次</w:t>
            </w:r>
          </w:p>
        </w:tc>
        <w:tc>
          <w:tcPr>
            <w:tcW w:type="dxa" w:w="232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到达地点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和时间</w:t>
            </w:r>
          </w:p>
        </w:tc>
        <w:tc>
          <w:tcPr>
            <w:tcW w:type="dxa" w:w="118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52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接站</w:t>
            </w:r>
          </w:p>
        </w:tc>
      </w:tr>
      <w:tr>
        <w:trPr>
          <w:trHeight w:hRule="exact" w:val="551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38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7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32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8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exact" w:val="551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38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7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32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8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exact" w:val="551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38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7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32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8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exact" w:val="551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38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7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32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8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exact" w:val="560"/>
        </w:trPr>
        <w:tc>
          <w:tcPr>
            <w:tcW w:type="dxa" w:w="117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38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7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0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326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8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</w:tbl>
    <w:sectPr>
      <w:footerReference w:type="default" r:id="rId5"/>
      <w:headerReference w:type="first" r:id="rId6"/>
      <w:footerReference w:type="first" r:id="rId7"/>
      <w:pgSz w:w="16840" w:h="11907" w:orient="landscape"/>
      <w:pgMar w:top="1531" w:left="1985" w:bottom="1531" w:right="2098" w:header="851" w:footer="851" w:gutter="0"/>
      <w:pgNumType w:fmt="decimal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9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1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-1"/>
    <w:uiPriority w:val="151"/>
    <w:pPr>
      <w:jc w:val="center"/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  <w:style w:styleId="PO154" w:type="paragraph">
    <w:name w:val="footer"/>
    <w:basedOn w:val="PO1"/>
    <w:link w:val="PO-1"/>
    <w:uiPriority w:val="154"/>
    <w:pPr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4.xml"></Relationship><Relationship Id="rId6" Type="http://schemas.openxmlformats.org/officeDocument/2006/relationships/header" Target="header11.xml"></Relationship><Relationship Id="rId7" Type="http://schemas.openxmlformats.org/officeDocument/2006/relationships/footer" Target="footer12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